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6359" w:rsidRPr="00B36359" w:rsidRDefault="00B36359" w:rsidP="00B36359">
      <w:pPr>
        <w:spacing w:after="0" w:line="270" w:lineRule="atLeast"/>
        <w:jc w:val="both"/>
        <w:rPr>
          <w:rFonts w:eastAsia="Times New Roman" w:cs="Times New Roman"/>
          <w:sz w:val="28"/>
          <w:szCs w:val="28"/>
        </w:rPr>
      </w:pPr>
    </w:p>
    <w:tbl>
      <w:tblPr>
        <w:tblW w:w="5294" w:type="pct"/>
        <w:tblLayout w:type="fixed"/>
        <w:tblCellMar>
          <w:left w:w="0" w:type="dxa"/>
          <w:right w:w="0" w:type="dxa"/>
        </w:tblCellMar>
        <w:tblLook w:val="04A0" w:firstRow="1" w:lastRow="0" w:firstColumn="1" w:lastColumn="0" w:noHBand="0" w:noVBand="1"/>
      </w:tblPr>
      <w:tblGrid>
        <w:gridCol w:w="4111"/>
        <w:gridCol w:w="6096"/>
      </w:tblGrid>
      <w:tr w:rsidR="00B36359" w:rsidRPr="00B36359" w:rsidTr="00B36359">
        <w:tc>
          <w:tcPr>
            <w:tcW w:w="2014" w:type="pct"/>
            <w:hideMark/>
          </w:tcPr>
          <w:p w:rsidR="00B36359" w:rsidRPr="00B36359" w:rsidRDefault="00B36359" w:rsidP="00B36359">
            <w:pPr>
              <w:spacing w:after="0" w:line="240" w:lineRule="auto"/>
              <w:jc w:val="both"/>
              <w:outlineLvl w:val="0"/>
              <w:rPr>
                <w:rFonts w:eastAsia="Times New Roman" w:cs="Times New Roman"/>
                <w:b/>
                <w:bCs/>
                <w:kern w:val="36"/>
                <w:sz w:val="28"/>
                <w:szCs w:val="28"/>
              </w:rPr>
            </w:pPr>
            <w:r>
              <w:rPr>
                <w:rFonts w:eastAsia="Times New Roman" w:cs="Times New Roman"/>
                <w:b/>
                <w:bCs/>
                <w:kern w:val="36"/>
                <w:sz w:val="28"/>
                <w:szCs w:val="28"/>
              </w:rPr>
              <w:t xml:space="preserve">     </w:t>
            </w:r>
            <w:r w:rsidRPr="00B36359">
              <w:rPr>
                <w:rFonts w:eastAsia="Times New Roman" w:cs="Times New Roman"/>
                <w:b/>
                <w:bCs/>
                <w:kern w:val="36"/>
                <w:sz w:val="28"/>
                <w:szCs w:val="28"/>
              </w:rPr>
              <w:t xml:space="preserve">LĐLĐ HUYỆN </w:t>
            </w:r>
            <w:r>
              <w:rPr>
                <w:rFonts w:eastAsia="Times New Roman" w:cs="Times New Roman"/>
                <w:b/>
                <w:bCs/>
                <w:kern w:val="36"/>
                <w:sz w:val="28"/>
                <w:szCs w:val="28"/>
              </w:rPr>
              <w:t>QUỲ HỢP</w:t>
            </w:r>
          </w:p>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 xml:space="preserve">CĐ TRƯỜNG THCS </w:t>
            </w:r>
            <w:r>
              <w:rPr>
                <w:rFonts w:eastAsia="Times New Roman" w:cs="Times New Roman"/>
                <w:b/>
                <w:bCs/>
                <w:sz w:val="28"/>
                <w:szCs w:val="28"/>
                <w:bdr w:val="none" w:sz="0" w:space="0" w:color="auto" w:frame="1"/>
              </w:rPr>
              <w:t>QUỲ HỢP</w:t>
            </w:r>
          </w:p>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                                                          </w:t>
            </w:r>
          </w:p>
          <w:p w:rsidR="00B36359" w:rsidRPr="00B36359" w:rsidRDefault="00B36359" w:rsidP="00B36359">
            <w:pPr>
              <w:spacing w:after="0" w:line="240" w:lineRule="auto"/>
              <w:jc w:val="both"/>
              <w:rPr>
                <w:rFonts w:eastAsia="Times New Roman" w:cs="Times New Roman"/>
                <w:sz w:val="28"/>
                <w:szCs w:val="28"/>
              </w:rPr>
            </w:pPr>
            <w:r>
              <w:rPr>
                <w:rFonts w:eastAsia="Times New Roman" w:cs="Times New Roman"/>
                <w:sz w:val="28"/>
                <w:szCs w:val="28"/>
              </w:rPr>
              <w:t xml:space="preserve">           </w:t>
            </w:r>
            <w:r w:rsidRPr="00B36359">
              <w:rPr>
                <w:rFonts w:eastAsia="Times New Roman" w:cs="Times New Roman"/>
                <w:sz w:val="28"/>
                <w:szCs w:val="28"/>
              </w:rPr>
              <w:t>Số:     /QC-CĐCS</w:t>
            </w:r>
          </w:p>
        </w:tc>
        <w:tc>
          <w:tcPr>
            <w:tcW w:w="2986" w:type="pct"/>
            <w:hideMark/>
          </w:tcPr>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CỘNG HOÀ XÃ HỘI CHỦ NGHĨA VIỆT NAM</w:t>
            </w:r>
          </w:p>
          <w:p w:rsidR="00B36359" w:rsidRPr="00B36359" w:rsidRDefault="00B36359" w:rsidP="00B36359">
            <w:pPr>
              <w:spacing w:after="0" w:line="240" w:lineRule="auto"/>
              <w:jc w:val="both"/>
              <w:rPr>
                <w:rFonts w:eastAsia="Times New Roman" w:cs="Times New Roman"/>
                <w:sz w:val="28"/>
                <w:szCs w:val="28"/>
              </w:rPr>
            </w:pPr>
            <w:r>
              <w:rPr>
                <w:rFonts w:eastAsia="Times New Roman" w:cs="Times New Roman"/>
                <w:b/>
                <w:bCs/>
                <w:sz w:val="28"/>
                <w:szCs w:val="28"/>
                <w:bdr w:val="none" w:sz="0" w:space="0" w:color="auto" w:frame="1"/>
              </w:rPr>
              <w:t xml:space="preserve">              </w:t>
            </w:r>
            <w:r w:rsidRPr="00B36359">
              <w:rPr>
                <w:rFonts w:eastAsia="Times New Roman" w:cs="Times New Roman"/>
                <w:b/>
                <w:bCs/>
                <w:sz w:val="28"/>
                <w:szCs w:val="28"/>
                <w:bdr w:val="none" w:sz="0" w:space="0" w:color="auto" w:frame="1"/>
              </w:rPr>
              <w:t>Độc lập - Tự do - Hạnh phúc</w:t>
            </w:r>
          </w:p>
          <w:tbl>
            <w:tblPr>
              <w:tblpPr w:leftFromText="45" w:rightFromText="45" w:vertAnchor="text"/>
              <w:tblW w:w="0" w:type="auto"/>
              <w:tblLayout w:type="fixed"/>
              <w:tblCellMar>
                <w:left w:w="0" w:type="dxa"/>
                <w:right w:w="0" w:type="dxa"/>
              </w:tblCellMar>
              <w:tblLook w:val="04A0" w:firstRow="1" w:lastRow="0" w:firstColumn="1" w:lastColumn="0" w:noHBand="0" w:noVBand="1"/>
            </w:tblPr>
            <w:tblGrid>
              <w:gridCol w:w="426"/>
              <w:gridCol w:w="70"/>
            </w:tblGrid>
            <w:tr w:rsidR="00B36359" w:rsidRPr="00B36359" w:rsidTr="00B36359">
              <w:trPr>
                <w:gridAfter w:val="1"/>
                <w:wAfter w:w="70" w:type="dxa"/>
                <w:trHeight w:val="90"/>
              </w:trPr>
              <w:tc>
                <w:tcPr>
                  <w:tcW w:w="426" w:type="dxa"/>
                  <w:vAlign w:val="center"/>
                  <w:hideMark/>
                </w:tcPr>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sz w:val="28"/>
                      <w:szCs w:val="28"/>
                    </w:rPr>
                    <w:t> </w:t>
                  </w:r>
                </w:p>
              </w:tc>
            </w:tr>
            <w:tr w:rsidR="00B36359" w:rsidRPr="00B36359" w:rsidTr="00B36359">
              <w:tc>
                <w:tcPr>
                  <w:tcW w:w="426" w:type="dxa"/>
                  <w:vAlign w:val="center"/>
                </w:tcPr>
                <w:p w:rsidR="00B36359" w:rsidRPr="00B36359" w:rsidRDefault="00B36359" w:rsidP="00B36359">
                  <w:pPr>
                    <w:spacing w:after="0" w:line="240" w:lineRule="auto"/>
                    <w:jc w:val="both"/>
                    <w:rPr>
                      <w:rFonts w:eastAsia="Times New Roman" w:cs="Times New Roman"/>
                      <w:sz w:val="28"/>
                      <w:szCs w:val="28"/>
                    </w:rPr>
                  </w:pPr>
                </w:p>
              </w:tc>
              <w:tc>
                <w:tcPr>
                  <w:tcW w:w="70" w:type="dxa"/>
                  <w:vAlign w:val="center"/>
                </w:tcPr>
                <w:p w:rsidR="00B36359" w:rsidRPr="00B36359" w:rsidRDefault="00B36359" w:rsidP="00B36359">
                  <w:pPr>
                    <w:spacing w:after="0" w:line="240" w:lineRule="auto"/>
                    <w:jc w:val="both"/>
                    <w:rPr>
                      <w:rFonts w:eastAsia="Times New Roman" w:cs="Times New Roman"/>
                      <w:sz w:val="28"/>
                      <w:szCs w:val="28"/>
                    </w:rPr>
                  </w:pPr>
                </w:p>
              </w:tc>
            </w:tr>
          </w:tbl>
          <w:p w:rsidR="00B36359" w:rsidRDefault="00B36359" w:rsidP="00B36359">
            <w:pPr>
              <w:spacing w:after="0" w:line="240" w:lineRule="auto"/>
              <w:jc w:val="both"/>
              <w:rPr>
                <w:rFonts w:eastAsia="Times New Roman" w:cs="Times New Roman"/>
                <w:i/>
                <w:iCs/>
                <w:sz w:val="28"/>
                <w:szCs w:val="28"/>
                <w:bdr w:val="none" w:sz="0" w:space="0" w:color="auto" w:frame="1"/>
              </w:rPr>
            </w:pPr>
            <w:r>
              <w:rPr>
                <w:rFonts w:eastAsia="Times New Roman" w:cs="Times New Roman"/>
                <w:i/>
                <w:iCs/>
                <w:sz w:val="28"/>
                <w:szCs w:val="28"/>
                <w:bdr w:val="none" w:sz="0" w:space="0" w:color="auto" w:frame="1"/>
              </w:rPr>
              <w:t xml:space="preserve">  </w:t>
            </w:r>
            <w:r w:rsidRPr="00B36359">
              <w:rPr>
                <w:rFonts w:eastAsia="Times New Roman" w:cs="Times New Roman"/>
                <w:i/>
                <w:iCs/>
                <w:sz w:val="28"/>
                <w:szCs w:val="28"/>
                <w:bdr w:val="none" w:sz="0" w:space="0" w:color="auto" w:frame="1"/>
              </w:rPr>
              <w:t> </w:t>
            </w:r>
          </w:p>
          <w:p w:rsidR="00B36359" w:rsidRPr="00B36359" w:rsidRDefault="00B36359" w:rsidP="00B36359">
            <w:pPr>
              <w:spacing w:after="0" w:line="240" w:lineRule="auto"/>
              <w:ind w:right="419"/>
              <w:jc w:val="both"/>
              <w:rPr>
                <w:rFonts w:eastAsia="Times New Roman" w:cs="Times New Roman"/>
                <w:sz w:val="28"/>
                <w:szCs w:val="28"/>
              </w:rPr>
            </w:pPr>
            <w:r>
              <w:rPr>
                <w:rFonts w:eastAsia="Times New Roman" w:cs="Times New Roman"/>
                <w:i/>
                <w:iCs/>
                <w:sz w:val="28"/>
                <w:szCs w:val="28"/>
                <w:bdr w:val="none" w:sz="0" w:space="0" w:color="auto" w:frame="1"/>
              </w:rPr>
              <w:t xml:space="preserve">       Quỳ Hợp</w:t>
            </w:r>
            <w:r w:rsidRPr="00B36359">
              <w:rPr>
                <w:rFonts w:eastAsia="Times New Roman" w:cs="Times New Roman"/>
                <w:i/>
                <w:iCs/>
                <w:sz w:val="28"/>
                <w:szCs w:val="28"/>
                <w:bdr w:val="none" w:sz="0" w:space="0" w:color="auto" w:frame="1"/>
              </w:rPr>
              <w:t xml:space="preserve">, ngày </w:t>
            </w:r>
            <w:r>
              <w:rPr>
                <w:rFonts w:eastAsia="Times New Roman" w:cs="Times New Roman"/>
                <w:i/>
                <w:iCs/>
                <w:sz w:val="28"/>
                <w:szCs w:val="28"/>
                <w:bdr w:val="none" w:sz="0" w:space="0" w:color="auto" w:frame="1"/>
              </w:rPr>
              <w:t>25</w:t>
            </w:r>
            <w:r w:rsidRPr="00B36359">
              <w:rPr>
                <w:rFonts w:eastAsia="Times New Roman" w:cs="Times New Roman"/>
                <w:i/>
                <w:iCs/>
                <w:sz w:val="28"/>
                <w:szCs w:val="28"/>
                <w:bdr w:val="none" w:sz="0" w:space="0" w:color="auto" w:frame="1"/>
              </w:rPr>
              <w:t xml:space="preserve"> tháng </w:t>
            </w:r>
            <w:r>
              <w:rPr>
                <w:rFonts w:eastAsia="Times New Roman" w:cs="Times New Roman"/>
                <w:i/>
                <w:iCs/>
                <w:sz w:val="28"/>
                <w:szCs w:val="28"/>
                <w:bdr w:val="none" w:sz="0" w:space="0" w:color="auto" w:frame="1"/>
              </w:rPr>
              <w:t>10</w:t>
            </w:r>
            <w:r w:rsidRPr="00B36359">
              <w:rPr>
                <w:rFonts w:eastAsia="Times New Roman" w:cs="Times New Roman"/>
                <w:i/>
                <w:iCs/>
                <w:sz w:val="28"/>
                <w:szCs w:val="28"/>
                <w:bdr w:val="none" w:sz="0" w:space="0" w:color="auto" w:frame="1"/>
              </w:rPr>
              <w:t xml:space="preserve"> năm 20</w:t>
            </w:r>
            <w:r>
              <w:rPr>
                <w:rFonts w:eastAsia="Times New Roman" w:cs="Times New Roman"/>
                <w:i/>
                <w:iCs/>
                <w:sz w:val="28"/>
                <w:szCs w:val="28"/>
                <w:bdr w:val="none" w:sz="0" w:space="0" w:color="auto" w:frame="1"/>
              </w:rPr>
              <w:t>23</w:t>
            </w:r>
          </w:p>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 </w:t>
            </w:r>
          </w:p>
        </w:tc>
      </w:tr>
    </w:tbl>
    <w:p w:rsidR="00B36359" w:rsidRPr="00B36359" w:rsidRDefault="00B36359" w:rsidP="00B36359">
      <w:pPr>
        <w:spacing w:after="0" w:line="240" w:lineRule="auto"/>
        <w:jc w:val="center"/>
        <w:rPr>
          <w:rFonts w:eastAsia="Times New Roman" w:cs="Times New Roman"/>
          <w:sz w:val="28"/>
          <w:szCs w:val="28"/>
        </w:rPr>
      </w:pPr>
      <w:r w:rsidRPr="00B36359">
        <w:rPr>
          <w:rFonts w:eastAsia="Times New Roman" w:cs="Times New Roman"/>
          <w:b/>
          <w:bCs/>
          <w:color w:val="242B2D"/>
          <w:sz w:val="28"/>
          <w:szCs w:val="28"/>
          <w:bdr w:val="none" w:sz="0" w:space="0" w:color="auto" w:frame="1"/>
          <w:shd w:val="clear" w:color="auto" w:fill="F9F9F9"/>
        </w:rPr>
        <w:t>QUY CHẾ</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HOẠT ĐỘNG CỦA ỦY BAN KIỂM TRA CÔNG ĐOÀN</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Nhiệm kỳ: 20</w:t>
      </w:r>
      <w:r>
        <w:rPr>
          <w:rFonts w:eastAsia="Times New Roman" w:cs="Times New Roman"/>
          <w:b/>
          <w:bCs/>
          <w:color w:val="242B2D"/>
          <w:sz w:val="28"/>
          <w:szCs w:val="28"/>
          <w:bdr w:val="none" w:sz="0" w:space="0" w:color="auto" w:frame="1"/>
          <w:shd w:val="clear" w:color="auto" w:fill="F9F9F9"/>
        </w:rPr>
        <w:t>23</w:t>
      </w:r>
      <w:r w:rsidRPr="00B36359">
        <w:rPr>
          <w:rFonts w:eastAsia="Times New Roman" w:cs="Times New Roman"/>
          <w:b/>
          <w:bCs/>
          <w:color w:val="242B2D"/>
          <w:sz w:val="28"/>
          <w:szCs w:val="28"/>
          <w:bdr w:val="none" w:sz="0" w:space="0" w:color="auto" w:frame="1"/>
          <w:shd w:val="clear" w:color="auto" w:fill="F9F9F9"/>
        </w:rPr>
        <w:t xml:space="preserve"> - 202</w:t>
      </w:r>
      <w:r>
        <w:rPr>
          <w:rFonts w:eastAsia="Times New Roman" w:cs="Times New Roman"/>
          <w:b/>
          <w:bCs/>
          <w:color w:val="242B2D"/>
          <w:sz w:val="28"/>
          <w:szCs w:val="28"/>
          <w:bdr w:val="none" w:sz="0" w:space="0" w:color="auto" w:frame="1"/>
          <w:shd w:val="clear" w:color="auto" w:fill="F9F9F9"/>
        </w:rPr>
        <w:t>8</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  Căn cứ vào điều lệ Công Đoàn Việt Nam;</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  Căn cứ vào quy chế hoạt động của UBKT Công đoàn Giáo dục Việt Nam;</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xml:space="preserve">     -  Căn cứ vào quy chế hoạt động của BCH Công đoàn trường THCS </w:t>
      </w:r>
      <w:r>
        <w:rPr>
          <w:rFonts w:eastAsia="Times New Roman" w:cs="Times New Roman"/>
          <w:color w:val="242B2D"/>
          <w:sz w:val="28"/>
          <w:szCs w:val="28"/>
          <w:bdr w:val="none" w:sz="0" w:space="0" w:color="auto" w:frame="1"/>
          <w:shd w:val="clear" w:color="auto" w:fill="F9F9F9"/>
        </w:rPr>
        <w:t>Minh Hợp</w:t>
      </w:r>
      <w:r w:rsidRPr="00B36359">
        <w:rPr>
          <w:rFonts w:eastAsia="Times New Roman" w:cs="Times New Roman"/>
          <w:color w:val="242B2D"/>
          <w:sz w:val="28"/>
          <w:szCs w:val="28"/>
          <w:bdr w:val="none" w:sz="0" w:space="0" w:color="auto" w:frame="1"/>
          <w:shd w:val="clear" w:color="auto" w:fill="F9F9F9"/>
        </w:rPr>
        <w:t>;</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xml:space="preserve">     BCH Công đoàn trường THCS </w:t>
      </w:r>
      <w:r>
        <w:rPr>
          <w:rFonts w:eastAsia="Times New Roman" w:cs="Times New Roman"/>
          <w:color w:val="242B2D"/>
          <w:sz w:val="28"/>
          <w:szCs w:val="28"/>
          <w:bdr w:val="none" w:sz="0" w:space="0" w:color="auto" w:frame="1"/>
          <w:shd w:val="clear" w:color="auto" w:fill="F9F9F9"/>
        </w:rPr>
        <w:t>Minh Hợp</w:t>
      </w:r>
      <w:r w:rsidRPr="00B36359">
        <w:rPr>
          <w:rFonts w:eastAsia="Times New Roman" w:cs="Times New Roman"/>
          <w:color w:val="242B2D"/>
          <w:sz w:val="28"/>
          <w:szCs w:val="28"/>
          <w:bdr w:val="none" w:sz="0" w:space="0" w:color="auto" w:frame="1"/>
          <w:shd w:val="clear" w:color="auto" w:fill="F9F9F9"/>
        </w:rPr>
        <w:t xml:space="preserve"> ban hành quy chế hoạt động của UBKT Công đoàn cơ sở như sau:</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Chương  I</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NHỮNG QUY ĐỊNH CHUNG</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r w:rsidRPr="00B36359">
        <w:rPr>
          <w:rFonts w:eastAsia="Times New Roman" w:cs="Times New Roman"/>
          <w:b/>
          <w:bCs/>
          <w:color w:val="242B2D"/>
          <w:sz w:val="28"/>
          <w:szCs w:val="28"/>
          <w:bdr w:val="none" w:sz="0" w:space="0" w:color="auto" w:frame="1"/>
          <w:shd w:val="clear" w:color="auto" w:fill="F9F9F9"/>
        </w:rPr>
        <w:t>Điều 1:</w:t>
      </w:r>
      <w:r w:rsidRPr="00B36359">
        <w:rPr>
          <w:rFonts w:eastAsia="Times New Roman" w:cs="Times New Roman"/>
          <w:color w:val="242B2D"/>
          <w:sz w:val="28"/>
          <w:szCs w:val="28"/>
          <w:bdr w:val="none" w:sz="0" w:space="0" w:color="auto" w:frame="1"/>
          <w:shd w:val="clear" w:color="auto" w:fill="F9F9F9"/>
        </w:rPr>
        <w:t> UBKT do BCH Công đoàn bầu ra, có trách nhiệm tổ chức thực hiện các nghị quyết của BCH Công đoàn về công tác kiểm tra theo quy định của điều lệ Công đoàn Việt Nam.</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r w:rsidRPr="00B36359">
        <w:rPr>
          <w:rFonts w:eastAsia="Times New Roman" w:cs="Times New Roman"/>
          <w:b/>
          <w:bCs/>
          <w:color w:val="242B2D"/>
          <w:sz w:val="28"/>
          <w:szCs w:val="28"/>
          <w:bdr w:val="none" w:sz="0" w:space="0" w:color="auto" w:frame="1"/>
          <w:shd w:val="clear" w:color="auto" w:fill="F9F9F9"/>
        </w:rPr>
        <w:t>Điều 2:</w:t>
      </w:r>
      <w:r w:rsidRPr="00B36359">
        <w:rPr>
          <w:rFonts w:eastAsia="Times New Roman" w:cs="Times New Roman"/>
          <w:color w:val="242B2D"/>
          <w:sz w:val="28"/>
          <w:szCs w:val="28"/>
          <w:bdr w:val="none" w:sz="0" w:space="0" w:color="auto" w:frame="1"/>
          <w:shd w:val="clear" w:color="auto" w:fill="F9F9F9"/>
        </w:rPr>
        <w:t> UBKT gồm một chủ nhiệm và hai ủy viên thuộc cơ cấu tổ chức của Công đoàn cơ sở.</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r w:rsidRPr="00B36359">
        <w:rPr>
          <w:rFonts w:eastAsia="Times New Roman" w:cs="Times New Roman"/>
          <w:b/>
          <w:bCs/>
          <w:color w:val="242B2D"/>
          <w:sz w:val="28"/>
          <w:szCs w:val="28"/>
          <w:bdr w:val="none" w:sz="0" w:space="0" w:color="auto" w:frame="1"/>
          <w:shd w:val="clear" w:color="auto" w:fill="F9F9F9"/>
        </w:rPr>
        <w:t>Điều 3:</w:t>
      </w:r>
      <w:r w:rsidRPr="00B36359">
        <w:rPr>
          <w:rFonts w:eastAsia="Times New Roman" w:cs="Times New Roman"/>
          <w:color w:val="242B2D"/>
          <w:sz w:val="28"/>
          <w:szCs w:val="28"/>
          <w:bdr w:val="none" w:sz="0" w:space="0" w:color="auto" w:frame="1"/>
          <w:shd w:val="clear" w:color="auto" w:fill="F9F9F9"/>
        </w:rPr>
        <w:t> Ủy ban kiểm tra có nhiệm vụ</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1. Giúp BCH thực hiện kiểm tra việc chấp hành điều lệ Công đoàn của BCH cùng cấp.</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Tổ chức kiểm tra công đoàn cùng cấp khi tổ chức hoặc đoàn viên có dấu hiệu vi phạm Điều lệ, Nghị quyết, Chỉ thị và các Quy định của Công đoàn.</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2. Kiểm tra việc quản lý, sử dụng tài chính, tài sản và hoạt động kinh tế của Công đoàn.</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3. Giúp BCH giải quyết các khiếu nại, tố cáo thuộc thẩm quyền của Công đoàn. Tham mưu cho BCH tham gia với BGH nhà trường giải quyết khiếu nại tố cáo của CB, GV, CNV.</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Chương II</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NHIỆM VỤ, QUYỀN HẠN</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CỦA CHỦ NHIỆM VÀ CÁC ỦY VIÊN ỦY BAN KIỂM TRA</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     Điều 4: </w:t>
      </w:r>
      <w:r w:rsidRPr="00B36359">
        <w:rPr>
          <w:rFonts w:eastAsia="Times New Roman" w:cs="Times New Roman"/>
          <w:color w:val="242B2D"/>
          <w:sz w:val="28"/>
          <w:szCs w:val="28"/>
          <w:bdr w:val="none" w:sz="0" w:space="0" w:color="auto" w:frame="1"/>
          <w:shd w:val="clear" w:color="auto" w:fill="F9F9F9"/>
        </w:rPr>
        <w:t>Chủ nhiệm Ủy ban kiểm tra</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Chịu trách nhiệm toàn bộ hoạt động của UBKT trước BCH Công đoàn cơ sở và UBKT Công đoàn cấp trên.</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Tổ chức, chỉ đạo, hướng dẫn, kiểm tra mọi hoạt động của UBKT. Ký các văn bản của UBKT. Triệu tập và chủ trì các hội nghị của UBKT.</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     Điều 5:</w:t>
      </w:r>
      <w:r w:rsidRPr="00B36359">
        <w:rPr>
          <w:rFonts w:eastAsia="Times New Roman" w:cs="Times New Roman"/>
          <w:color w:val="242B2D"/>
          <w:sz w:val="28"/>
          <w:szCs w:val="28"/>
          <w:bdr w:val="none" w:sz="0" w:space="0" w:color="auto" w:frame="1"/>
          <w:shd w:val="clear" w:color="auto" w:fill="F9F9F9"/>
        </w:rPr>
        <w:t> Các ủy viên của Ủy ban kiểm tra</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1. Có nhiệm vụ tham dự đầy đủ các cuộc họp và tham gia các hoạt động của UBKT theo sự phân công.</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lastRenderedPageBreak/>
        <w:t>     2. Được mời dự các hội nghị của BCH Công đoàn. Đề xuất về nội dung, chương trình công tác của UBKT trong các kỳ họp thường kỳ của BCH.</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Chương III</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NGUYÊN TẮC, CHẾ ĐỘ LÀM VIỆC CỦA ỦY BAN KIỂM TRA</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     Điều 6:</w:t>
      </w:r>
      <w:r w:rsidRPr="00B36359">
        <w:rPr>
          <w:rFonts w:eastAsia="Times New Roman" w:cs="Times New Roman"/>
          <w:color w:val="242B2D"/>
          <w:sz w:val="28"/>
          <w:szCs w:val="28"/>
          <w:bdr w:val="none" w:sz="0" w:space="0" w:color="auto" w:frame="1"/>
          <w:shd w:val="clear" w:color="auto" w:fill="F9F9F9"/>
        </w:rPr>
        <w:t> UBKT làm việc theo nguyên tắc tập trung dân chủ</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1. Trong các kỳ họp của UBKT, mọi thành viên thực hiện quyền dân chủ theo thảo luận và quyết định công việc thuộc thẩm quyền của UBKT.</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2. Quyết định của UBKT thực hiện theo nguyên tắc đa số, ý kiến thiểu số được ghi nhận và khi cần thiết báo cáo với tổ chức, người có thẩm quyền quyết định.</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3. Trong tổ chức điều hành công việc đã được tập thể UBKT thông qua, thực hiện theo nguyên tắc tập thể lãnh đạo, cá nhân phụ trách.</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4. Giữa hai kỳ họp của UBKT, Chủ nhiệm UBKT tổ chức thực hiện nhiệm vụ kiểm tra.</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5. Hội nghị UBKT được tổ chức khi có ít nhất 2/3 số thành viên UBKT có mặt. Các kết luận, nghị quyết của UBKT phải được trên 50% số thành viên có mặt tán thành.</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r w:rsidRPr="00B36359">
        <w:rPr>
          <w:rFonts w:eastAsia="Times New Roman" w:cs="Times New Roman"/>
          <w:b/>
          <w:bCs/>
          <w:color w:val="242B2D"/>
          <w:sz w:val="28"/>
          <w:szCs w:val="28"/>
          <w:bdr w:val="none" w:sz="0" w:space="0" w:color="auto" w:frame="1"/>
          <w:shd w:val="clear" w:color="auto" w:fill="F9F9F9"/>
        </w:rPr>
        <w:t>Điều 7:</w:t>
      </w:r>
      <w:r w:rsidRPr="00B36359">
        <w:rPr>
          <w:rFonts w:eastAsia="Times New Roman" w:cs="Times New Roman"/>
          <w:color w:val="242B2D"/>
          <w:sz w:val="28"/>
          <w:szCs w:val="28"/>
          <w:bdr w:val="none" w:sz="0" w:space="0" w:color="auto" w:frame="1"/>
          <w:shd w:val="clear" w:color="auto" w:fill="F9F9F9"/>
        </w:rPr>
        <w:t> Chế độ làm việc</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Hội nghị thường kỳ của UBKT theo hội nghị thường kỳ của BCH và khi cần thiết có thể tổ chức hội nghị bất thường.</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r w:rsidRPr="00B36359">
        <w:rPr>
          <w:rFonts w:eastAsia="Times New Roman" w:cs="Times New Roman"/>
          <w:b/>
          <w:bCs/>
          <w:color w:val="242B2D"/>
          <w:sz w:val="28"/>
          <w:szCs w:val="28"/>
          <w:bdr w:val="none" w:sz="0" w:space="0" w:color="auto" w:frame="1"/>
          <w:shd w:val="clear" w:color="auto" w:fill="F9F9F9"/>
        </w:rPr>
        <w:t>Điều 8:</w:t>
      </w:r>
      <w:r w:rsidRPr="00B36359">
        <w:rPr>
          <w:rFonts w:eastAsia="Times New Roman" w:cs="Times New Roman"/>
          <w:color w:val="242B2D"/>
          <w:sz w:val="28"/>
          <w:szCs w:val="28"/>
          <w:bdr w:val="none" w:sz="0" w:space="0" w:color="auto" w:frame="1"/>
          <w:shd w:val="clear" w:color="auto" w:fill="F9F9F9"/>
        </w:rPr>
        <w:t> Mối quan hệ làm việc giữa UBKT và BCH Công đoàn cơ sở</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1. UBKT chịu sự chỉ đạo của BCH Công đoàn, trực tiếp là Chủ tịch Công đoàn về những nội dung thuộc nhiệm vụ của UBKT.</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2. UBKT chịu sự chỉ đạo, hướng dẫn về chuyên môn, nghiệp vụ của UBKT Công đoàn cấp trên.</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r w:rsidRPr="00B36359">
        <w:rPr>
          <w:rFonts w:eastAsia="Times New Roman" w:cs="Times New Roman"/>
          <w:b/>
          <w:bCs/>
          <w:color w:val="242B2D"/>
          <w:sz w:val="28"/>
          <w:szCs w:val="28"/>
          <w:bdr w:val="none" w:sz="0" w:space="0" w:color="auto" w:frame="1"/>
          <w:shd w:val="clear" w:color="auto" w:fill="F9F9F9"/>
        </w:rPr>
        <w:t>Điều 9:</w:t>
      </w:r>
      <w:r w:rsidRPr="00B36359">
        <w:rPr>
          <w:rFonts w:eastAsia="Times New Roman" w:cs="Times New Roman"/>
          <w:color w:val="242B2D"/>
          <w:sz w:val="28"/>
          <w:szCs w:val="28"/>
          <w:bdr w:val="none" w:sz="0" w:space="0" w:color="auto" w:frame="1"/>
          <w:shd w:val="clear" w:color="auto" w:fill="F9F9F9"/>
        </w:rPr>
        <w:t> Chế độ báo cáo</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1. UBKT báo cáo kết quả hoạt động, đề xuất chủ trương, chương trình công tác và kiến nghị trong kỳ họp thường kỳ của BCH Công đoàn.</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2. Các báo cáo và các văn bản của UBKT soạn thảo, phát hành phải được thông qua Chủ tịch Công đoàn.</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3. UBKT ngoài việc gửi báo cáo đột xuất, phải gửi báo cáo định kỳ vào cuối tháng 6 và cuối tháng 12 hàng năm cho UBKT Công đoàn cấp trên.</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Chương IV</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ĐIỀU KHOẢN THI HÀNH</w:t>
      </w:r>
    </w:p>
    <w:p w:rsidR="00B36359" w:rsidRPr="00B36359" w:rsidRDefault="00B36359" w:rsidP="00B36359">
      <w:pPr>
        <w:spacing w:after="0" w:line="240" w:lineRule="auto"/>
        <w:jc w:val="center"/>
        <w:rPr>
          <w:rFonts w:eastAsia="Times New Roman" w:cs="Times New Roman"/>
          <w:color w:val="242B2D"/>
          <w:sz w:val="28"/>
          <w:szCs w:val="28"/>
          <w:bdr w:val="none" w:sz="0" w:space="0" w:color="auto" w:frame="1"/>
          <w:shd w:val="clear" w:color="auto" w:fill="F9F9F9"/>
        </w:rPr>
      </w:pP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     Điều 10:</w:t>
      </w:r>
      <w:r w:rsidRPr="00B36359">
        <w:rPr>
          <w:rFonts w:eastAsia="Times New Roman" w:cs="Times New Roman"/>
          <w:color w:val="242B2D"/>
          <w:sz w:val="28"/>
          <w:szCs w:val="28"/>
          <w:bdr w:val="none" w:sz="0" w:space="0" w:color="auto" w:frame="1"/>
          <w:shd w:val="clear" w:color="auto" w:fill="F9F9F9"/>
        </w:rPr>
        <w:t> BCH Công đoàn, UBKT Công đoàn có trách nhiệm thực hiện quy chế này.</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b/>
          <w:bCs/>
          <w:color w:val="242B2D"/>
          <w:sz w:val="28"/>
          <w:szCs w:val="28"/>
          <w:bdr w:val="none" w:sz="0" w:space="0" w:color="auto" w:frame="1"/>
          <w:shd w:val="clear" w:color="auto" w:fill="F9F9F9"/>
        </w:rPr>
        <w:t>     Điều  11:</w:t>
      </w:r>
      <w:r w:rsidRPr="00B36359">
        <w:rPr>
          <w:rFonts w:eastAsia="Times New Roman" w:cs="Times New Roman"/>
          <w:color w:val="242B2D"/>
          <w:sz w:val="28"/>
          <w:szCs w:val="28"/>
          <w:bdr w:val="none" w:sz="0" w:space="0" w:color="auto" w:frame="1"/>
          <w:shd w:val="clear" w:color="auto" w:fill="F9F9F9"/>
        </w:rPr>
        <w:t> Quy chế này có hiệu lực kể từ ngày ký, việc sửa đổi, bổ sung quy chế do BCH Công đoàn quyết định.</w:t>
      </w:r>
    </w:p>
    <w:p w:rsidR="00B36359" w:rsidRPr="00B36359" w:rsidRDefault="00B36359" w:rsidP="00B36359">
      <w:pPr>
        <w:spacing w:after="0" w:line="240" w:lineRule="auto"/>
        <w:jc w:val="both"/>
        <w:rPr>
          <w:rFonts w:eastAsia="Times New Roman" w:cs="Times New Roman"/>
          <w:color w:val="242B2D"/>
          <w:sz w:val="28"/>
          <w:szCs w:val="28"/>
          <w:bdr w:val="none" w:sz="0" w:space="0" w:color="auto" w:frame="1"/>
          <w:shd w:val="clear" w:color="auto" w:fill="F9F9F9"/>
        </w:rPr>
      </w:pPr>
      <w:r w:rsidRPr="00B36359">
        <w:rPr>
          <w:rFonts w:eastAsia="Times New Roman" w:cs="Times New Roman"/>
          <w:color w:val="242B2D"/>
          <w:sz w:val="28"/>
          <w:szCs w:val="28"/>
          <w:bdr w:val="none" w:sz="0" w:space="0" w:color="auto" w:frame="1"/>
          <w:shd w:val="clear" w:color="auto" w:fill="F9F9F9"/>
        </w:rPr>
        <w:t> </w:t>
      </w:r>
    </w:p>
    <w:tbl>
      <w:tblPr>
        <w:tblW w:w="5809" w:type="pct"/>
        <w:tblCellMar>
          <w:left w:w="0" w:type="dxa"/>
          <w:right w:w="0" w:type="dxa"/>
        </w:tblCellMar>
        <w:tblLook w:val="04A0" w:firstRow="1" w:lastRow="0" w:firstColumn="1" w:lastColumn="0" w:noHBand="0" w:noVBand="1"/>
      </w:tblPr>
      <w:tblGrid>
        <w:gridCol w:w="6380"/>
        <w:gridCol w:w="4820"/>
      </w:tblGrid>
      <w:tr w:rsidR="00B36359" w:rsidRPr="00B36359" w:rsidTr="00B36359">
        <w:tc>
          <w:tcPr>
            <w:tcW w:w="2848" w:type="pct"/>
            <w:hideMark/>
          </w:tcPr>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sz w:val="28"/>
                <w:szCs w:val="28"/>
              </w:rPr>
              <w:t>                                 </w:t>
            </w:r>
          </w:p>
        </w:tc>
        <w:tc>
          <w:tcPr>
            <w:tcW w:w="2152" w:type="pct"/>
            <w:hideMark/>
          </w:tcPr>
          <w:p w:rsidR="00B36359" w:rsidRPr="00B36359" w:rsidRDefault="00B3590F" w:rsidP="00B36359">
            <w:pPr>
              <w:spacing w:after="0" w:line="240" w:lineRule="auto"/>
              <w:jc w:val="both"/>
              <w:rPr>
                <w:rFonts w:eastAsia="Times New Roman" w:cs="Times New Roman"/>
                <w:sz w:val="28"/>
                <w:szCs w:val="28"/>
              </w:rPr>
            </w:pPr>
            <w:r>
              <w:rPr>
                <w:rFonts w:eastAsia="Times New Roman" w:cs="Times New Roman"/>
                <w:noProof/>
                <w:sz w:val="28"/>
                <w:szCs w:val="28"/>
              </w:rPr>
              <w:drawing>
                <wp:anchor distT="0" distB="0" distL="114300" distR="114300" simplePos="0" relativeHeight="251659264" behindDoc="1" locked="0" layoutInCell="1" allowOverlap="1" wp14:anchorId="4F5E1390" wp14:editId="67214DE2">
                  <wp:simplePos x="0" y="0"/>
                  <wp:positionH relativeFrom="column">
                    <wp:posOffset>-279400</wp:posOffset>
                  </wp:positionH>
                  <wp:positionV relativeFrom="paragraph">
                    <wp:posOffset>170180</wp:posOffset>
                  </wp:positionV>
                  <wp:extent cx="2420620" cy="1256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0620" cy="1256030"/>
                          </a:xfrm>
                          <a:prstGeom prst="rect">
                            <a:avLst/>
                          </a:prstGeom>
                          <a:noFill/>
                        </pic:spPr>
                      </pic:pic>
                    </a:graphicData>
                  </a:graphic>
                  <wp14:sizeRelH relativeFrom="page">
                    <wp14:pctWidth>0</wp14:pctWidth>
                  </wp14:sizeRelH>
                  <wp14:sizeRelV relativeFrom="page">
                    <wp14:pctHeight>0</wp14:pctHeight>
                  </wp14:sizeRelV>
                </wp:anchor>
              </w:drawing>
            </w:r>
            <w:r w:rsidR="00B36359" w:rsidRPr="00B36359">
              <w:rPr>
                <w:rFonts w:eastAsia="Times New Roman" w:cs="Times New Roman"/>
                <w:b/>
                <w:bCs/>
                <w:sz w:val="28"/>
                <w:szCs w:val="28"/>
                <w:bdr w:val="none" w:sz="0" w:space="0" w:color="auto" w:frame="1"/>
              </w:rPr>
              <w:t>TM. BCH</w:t>
            </w:r>
          </w:p>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CHỦ TỊCH</w:t>
            </w:r>
          </w:p>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 </w:t>
            </w:r>
          </w:p>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 </w:t>
            </w:r>
          </w:p>
          <w:p w:rsidR="00B36359" w:rsidRPr="00B36359" w:rsidRDefault="00B36359" w:rsidP="00B36359">
            <w:pPr>
              <w:spacing w:after="0" w:line="240" w:lineRule="auto"/>
              <w:jc w:val="both"/>
              <w:rPr>
                <w:rFonts w:eastAsia="Times New Roman" w:cs="Times New Roman"/>
                <w:sz w:val="28"/>
                <w:szCs w:val="28"/>
              </w:rPr>
            </w:pPr>
            <w:r w:rsidRPr="00B36359">
              <w:rPr>
                <w:rFonts w:eastAsia="Times New Roman" w:cs="Times New Roman"/>
                <w:b/>
                <w:bCs/>
                <w:sz w:val="28"/>
                <w:szCs w:val="28"/>
                <w:bdr w:val="none" w:sz="0" w:space="0" w:color="auto" w:frame="1"/>
              </w:rPr>
              <w:t> </w:t>
            </w:r>
          </w:p>
          <w:p w:rsidR="00B36359" w:rsidRPr="00B36359" w:rsidRDefault="00B36359" w:rsidP="00B36359">
            <w:pPr>
              <w:spacing w:after="0" w:line="240" w:lineRule="auto"/>
              <w:jc w:val="both"/>
              <w:rPr>
                <w:rFonts w:eastAsia="Times New Roman" w:cs="Times New Roman"/>
                <w:sz w:val="28"/>
                <w:szCs w:val="28"/>
              </w:rPr>
            </w:pPr>
            <w:r>
              <w:rPr>
                <w:rFonts w:eastAsia="Times New Roman" w:cs="Times New Roman"/>
                <w:b/>
                <w:bCs/>
                <w:sz w:val="28"/>
                <w:szCs w:val="28"/>
                <w:bdr w:val="none" w:sz="0" w:space="0" w:color="auto" w:frame="1"/>
              </w:rPr>
              <w:t>Vũ Ánh Ngọc</w:t>
            </w:r>
          </w:p>
        </w:tc>
      </w:tr>
    </w:tbl>
    <w:p w:rsidR="00350A0E" w:rsidRPr="00B36359" w:rsidRDefault="00350A0E" w:rsidP="00B36359">
      <w:pPr>
        <w:jc w:val="both"/>
        <w:rPr>
          <w:rFonts w:cs="Times New Roman"/>
          <w:sz w:val="28"/>
          <w:szCs w:val="28"/>
        </w:rPr>
      </w:pPr>
    </w:p>
    <w:sectPr w:rsidR="00350A0E" w:rsidRPr="00B36359" w:rsidSect="00D1511D">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59"/>
    <w:rsid w:val="00350A0E"/>
    <w:rsid w:val="009E61A1"/>
    <w:rsid w:val="00B3590F"/>
    <w:rsid w:val="00B36359"/>
    <w:rsid w:val="00D1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1BFDF-1799-4052-AA71-3C1867D5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635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59"/>
    <w:rPr>
      <w:rFonts w:eastAsia="Times New Roman" w:cs="Times New Roman"/>
      <w:b/>
      <w:bCs/>
      <w:kern w:val="36"/>
      <w:sz w:val="48"/>
      <w:szCs w:val="48"/>
    </w:rPr>
  </w:style>
  <w:style w:type="paragraph" w:customStyle="1" w:styleId="noidungtin">
    <w:name w:val="noidungtin"/>
    <w:basedOn w:val="Normal"/>
    <w:rsid w:val="00B3635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36359"/>
    <w:rPr>
      <w:b/>
      <w:bCs/>
    </w:rPr>
  </w:style>
  <w:style w:type="paragraph" w:styleId="NormalWeb">
    <w:name w:val="Normal (Web)"/>
    <w:basedOn w:val="Normal"/>
    <w:uiPriority w:val="99"/>
    <w:semiHidden/>
    <w:unhideWhenUsed/>
    <w:rsid w:val="00B3635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36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6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2024-05-13T02:39:00Z</dcterms:created>
  <dcterms:modified xsi:type="dcterms:W3CDTF">2025-04-28T15:55:00Z</dcterms:modified>
</cp:coreProperties>
</file>